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EE21C6" w14:textId="77777777" w:rsidR="0079563F" w:rsidRPr="009204FE" w:rsidRDefault="00EE5000" w:rsidP="009204FE">
      <w:pPr>
        <w:jc w:val="left"/>
        <w:rPr>
          <w:rFonts w:ascii="仿宋_GB2312" w:eastAsia="仿宋_GB2312" w:hAnsi="仿宋"/>
          <w:sz w:val="32"/>
          <w:szCs w:val="32"/>
        </w:rPr>
      </w:pPr>
      <w:r w:rsidRPr="009204FE">
        <w:rPr>
          <w:rFonts w:ascii="仿宋_GB2312" w:eastAsia="仿宋_GB2312" w:hAnsi="仿宋" w:hint="eastAsia"/>
          <w:sz w:val="32"/>
          <w:szCs w:val="32"/>
        </w:rPr>
        <w:t>附件1</w:t>
      </w:r>
    </w:p>
    <w:p w14:paraId="5C928EAE" w14:textId="77777777" w:rsidR="0079563F" w:rsidRPr="009204FE" w:rsidRDefault="00EE5000" w:rsidP="009204FE">
      <w:pPr>
        <w:jc w:val="center"/>
        <w:rPr>
          <w:rFonts w:ascii="方正大标宋简体" w:eastAsia="方正大标宋简体" w:hAnsi="仿宋"/>
          <w:sz w:val="36"/>
          <w:szCs w:val="36"/>
        </w:rPr>
      </w:pPr>
      <w:r w:rsidRPr="009204FE">
        <w:rPr>
          <w:rFonts w:ascii="方正大标宋简体" w:eastAsia="方正大标宋简体" w:hAnsi="仿宋" w:hint="eastAsia"/>
          <w:sz w:val="36"/>
          <w:szCs w:val="36"/>
        </w:rPr>
        <w:t>南京市中小学课桌椅管理办法</w:t>
      </w:r>
    </w:p>
    <w:p w14:paraId="7D789CAC" w14:textId="77777777" w:rsidR="009204FE" w:rsidRDefault="009204FE" w:rsidP="009204FE">
      <w:pPr>
        <w:jc w:val="center"/>
        <w:rPr>
          <w:rFonts w:ascii="仿宋" w:eastAsia="仿宋" w:hAnsi="仿宋"/>
          <w:b/>
          <w:sz w:val="32"/>
          <w:szCs w:val="32"/>
        </w:rPr>
      </w:pPr>
    </w:p>
    <w:p w14:paraId="171F6F2B" w14:textId="77777777" w:rsidR="0079563F" w:rsidRDefault="00EE5000" w:rsidP="009204FE">
      <w:pPr>
        <w:spacing w:line="460" w:lineRule="exact"/>
        <w:jc w:val="center"/>
        <w:rPr>
          <w:rFonts w:ascii="仿宋" w:eastAsia="仿宋" w:hAnsi="仿宋"/>
          <w:b/>
          <w:sz w:val="32"/>
          <w:szCs w:val="32"/>
        </w:rPr>
      </w:pPr>
      <w:r>
        <w:rPr>
          <w:rFonts w:ascii="仿宋" w:eastAsia="仿宋" w:hAnsi="仿宋" w:hint="eastAsia"/>
          <w:b/>
          <w:sz w:val="32"/>
          <w:szCs w:val="32"/>
        </w:rPr>
        <w:t>第一章</w:t>
      </w:r>
      <w:r>
        <w:rPr>
          <w:rFonts w:ascii="仿宋" w:eastAsia="仿宋" w:hAnsi="仿宋" w:hint="eastAsia"/>
          <w:b/>
          <w:sz w:val="32"/>
          <w:szCs w:val="32"/>
        </w:rPr>
        <w:tab/>
        <w:t>总则</w:t>
      </w:r>
    </w:p>
    <w:p w14:paraId="2BF881B0"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第一条</w:t>
      </w:r>
      <w:r w:rsidR="000B792A">
        <w:rPr>
          <w:rFonts w:ascii="仿宋" w:eastAsia="仿宋" w:hAnsi="仿宋" w:hint="eastAsia"/>
          <w:sz w:val="32"/>
          <w:szCs w:val="32"/>
        </w:rPr>
        <w:t xml:space="preserve">  </w:t>
      </w:r>
      <w:r>
        <w:rPr>
          <w:rFonts w:ascii="仿宋" w:eastAsia="仿宋" w:hAnsi="仿宋" w:hint="eastAsia"/>
          <w:sz w:val="32"/>
          <w:szCs w:val="32"/>
        </w:rPr>
        <w:t>为加强和改进全市中小学课桌椅的选型采购、配置使用、维护更新、监督评估等工作，根据中共中央、国务院印发的《“健康中国2030”规划纲要》和教育部等八部门印发的《综合防控儿童青少年近视实施方案》等要求，结合本市实际，制定本办法。</w:t>
      </w:r>
    </w:p>
    <w:p w14:paraId="77941832"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第二条</w:t>
      </w:r>
      <w:r w:rsidR="000B792A">
        <w:rPr>
          <w:rFonts w:ascii="仿宋" w:eastAsia="仿宋" w:hAnsi="仿宋" w:hint="eastAsia"/>
          <w:sz w:val="32"/>
          <w:szCs w:val="32"/>
        </w:rPr>
        <w:t xml:space="preserve">  </w:t>
      </w:r>
      <w:r>
        <w:rPr>
          <w:rFonts w:ascii="仿宋" w:eastAsia="仿宋" w:hAnsi="仿宋" w:hint="eastAsia"/>
          <w:sz w:val="32"/>
          <w:szCs w:val="32"/>
        </w:rPr>
        <w:t>中小学课桌椅管理工作遵循“以人为本、健康第一”的指导思想和“舒适、耐用、环保、美观”的配备目标。</w:t>
      </w:r>
    </w:p>
    <w:p w14:paraId="07713F83"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第三条</w:t>
      </w:r>
      <w:r w:rsidR="000B792A">
        <w:rPr>
          <w:rFonts w:ascii="仿宋" w:eastAsia="仿宋" w:hAnsi="仿宋" w:hint="eastAsia"/>
          <w:sz w:val="32"/>
          <w:szCs w:val="32"/>
        </w:rPr>
        <w:t xml:space="preserve">  </w:t>
      </w:r>
      <w:r>
        <w:rPr>
          <w:rFonts w:ascii="仿宋" w:eastAsia="仿宋" w:hAnsi="仿宋" w:hint="eastAsia"/>
          <w:sz w:val="32"/>
          <w:szCs w:val="32"/>
        </w:rPr>
        <w:t>本办法适用于南京市教育系统所属中小学校的普通教室、实验室和专用教室，全市职业学校参照执行。</w:t>
      </w:r>
    </w:p>
    <w:p w14:paraId="1E9E361F"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第四条</w:t>
      </w:r>
      <w:r w:rsidR="000B792A">
        <w:rPr>
          <w:rFonts w:ascii="仿宋" w:eastAsia="仿宋" w:hAnsi="仿宋" w:hint="eastAsia"/>
          <w:sz w:val="32"/>
          <w:szCs w:val="32"/>
        </w:rPr>
        <w:t xml:space="preserve">  </w:t>
      </w:r>
      <w:r>
        <w:rPr>
          <w:rFonts w:ascii="仿宋" w:eastAsia="仿宋" w:hAnsi="仿宋" w:hint="eastAsia"/>
          <w:sz w:val="32"/>
          <w:szCs w:val="32"/>
        </w:rPr>
        <w:t>由南京市教育技术装备中心会同相关处室负责指导各区、学校课桌椅的管理工作；会同家具行业研制新型课桌椅并统一公布，供各区、学校选型。</w:t>
      </w:r>
    </w:p>
    <w:p w14:paraId="368EF936"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区教育局建立课桌椅管理的工作机制，负责落实课桌椅的购置经费，并制定年度采购计划，做好课桌椅的集中选型采购和监督评估工作。</w:t>
      </w:r>
    </w:p>
    <w:p w14:paraId="25FB5E11"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学校承担课桌椅管理的主体责任，要制定课桌椅配备调整、维护更新、资产管理等规程，优化学校课桌椅的动态管理流程，负责小批量协议采购。</w:t>
      </w:r>
    </w:p>
    <w:p w14:paraId="375476A9"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第五条</w:t>
      </w:r>
      <w:r w:rsidR="000B792A">
        <w:rPr>
          <w:rFonts w:ascii="仿宋" w:eastAsia="仿宋" w:hAnsi="仿宋" w:hint="eastAsia"/>
          <w:sz w:val="32"/>
          <w:szCs w:val="32"/>
        </w:rPr>
        <w:t xml:space="preserve">  </w:t>
      </w:r>
      <w:r>
        <w:rPr>
          <w:rFonts w:ascii="仿宋" w:eastAsia="仿宋" w:hAnsi="仿宋" w:hint="eastAsia"/>
          <w:sz w:val="32"/>
          <w:szCs w:val="32"/>
        </w:rPr>
        <w:t>学校新配置入校的课桌椅尺寸规格与技术要求应按照《学校课桌椅功能尺寸及技术要求》（GB/T3976-2014）（以下简称《标准》）要求执行。</w:t>
      </w:r>
    </w:p>
    <w:p w14:paraId="3E590BFC" w14:textId="77777777" w:rsidR="0079563F" w:rsidRDefault="00EE5000" w:rsidP="009204FE">
      <w:pPr>
        <w:spacing w:line="460" w:lineRule="exact"/>
        <w:jc w:val="center"/>
        <w:rPr>
          <w:rFonts w:ascii="仿宋" w:eastAsia="仿宋" w:hAnsi="仿宋"/>
          <w:b/>
          <w:sz w:val="32"/>
          <w:szCs w:val="32"/>
        </w:rPr>
      </w:pPr>
      <w:r>
        <w:rPr>
          <w:rFonts w:ascii="仿宋" w:eastAsia="仿宋" w:hAnsi="仿宋" w:hint="eastAsia"/>
          <w:b/>
          <w:sz w:val="32"/>
          <w:szCs w:val="32"/>
        </w:rPr>
        <w:t>第二章 选型采购</w:t>
      </w:r>
    </w:p>
    <w:p w14:paraId="792D8D2C" w14:textId="77777777" w:rsidR="0079563F" w:rsidRDefault="00EE5000" w:rsidP="009204FE">
      <w:pPr>
        <w:spacing w:line="460" w:lineRule="exact"/>
        <w:ind w:firstLineChars="250" w:firstLine="800"/>
        <w:jc w:val="left"/>
        <w:rPr>
          <w:rFonts w:ascii="仿宋" w:eastAsia="仿宋" w:hAnsi="仿宋"/>
          <w:sz w:val="32"/>
          <w:szCs w:val="32"/>
        </w:rPr>
      </w:pPr>
      <w:r>
        <w:rPr>
          <w:rFonts w:ascii="仿宋" w:eastAsia="仿宋" w:hAnsi="仿宋" w:hint="eastAsia"/>
          <w:sz w:val="32"/>
          <w:szCs w:val="32"/>
        </w:rPr>
        <w:t>第六条</w:t>
      </w:r>
      <w:r w:rsidR="000B792A">
        <w:rPr>
          <w:rFonts w:ascii="仿宋" w:eastAsia="仿宋" w:hAnsi="仿宋" w:hint="eastAsia"/>
          <w:sz w:val="32"/>
          <w:szCs w:val="32"/>
        </w:rPr>
        <w:t xml:space="preserve">  </w:t>
      </w:r>
      <w:r>
        <w:rPr>
          <w:rFonts w:ascii="仿宋" w:eastAsia="仿宋" w:hAnsi="仿宋" w:hint="eastAsia"/>
          <w:sz w:val="32"/>
          <w:szCs w:val="32"/>
        </w:rPr>
        <w:t>中小学校普通教室配备以不可调节的课桌椅为主，从《标准》规定十一种型号中选择适合的型号，对个别</w:t>
      </w:r>
      <w:r>
        <w:rPr>
          <w:rFonts w:ascii="仿宋" w:eastAsia="仿宋" w:hAnsi="仿宋" w:hint="eastAsia"/>
          <w:sz w:val="32"/>
          <w:szCs w:val="32"/>
        </w:rPr>
        <w:lastRenderedPageBreak/>
        <w:t>体形特异的学生可量身特制课桌椅；课桌椅上应按《标准》的规定附着安全、醒目的永久性课桌椅型号标牌，标牌可标明校名简称、购置的年份及校内流水号。</w:t>
      </w:r>
    </w:p>
    <w:p w14:paraId="638DCDE3" w14:textId="77777777" w:rsidR="0079563F" w:rsidRDefault="00EE5000" w:rsidP="009204FE">
      <w:pPr>
        <w:spacing w:line="460" w:lineRule="exact"/>
        <w:ind w:firstLineChars="250" w:firstLine="800"/>
        <w:jc w:val="left"/>
        <w:rPr>
          <w:rFonts w:ascii="仿宋" w:eastAsia="仿宋" w:hAnsi="仿宋"/>
          <w:sz w:val="32"/>
          <w:szCs w:val="32"/>
        </w:rPr>
      </w:pPr>
      <w:r w:rsidRPr="00E20D4A">
        <w:rPr>
          <w:rFonts w:ascii="仿宋" w:eastAsia="仿宋" w:hAnsi="仿宋" w:hint="eastAsia"/>
          <w:sz w:val="32"/>
          <w:szCs w:val="32"/>
        </w:rPr>
        <w:t>如中小学校普通教室配备可调节的课桌椅为主的，</w:t>
      </w:r>
      <w:r>
        <w:rPr>
          <w:rFonts w:ascii="仿宋" w:eastAsia="仿宋" w:hAnsi="仿宋" w:hint="eastAsia"/>
          <w:sz w:val="32"/>
          <w:szCs w:val="32"/>
        </w:rPr>
        <w:t>则需要参照不可调节课桌椅中相对应的型号标准，</w:t>
      </w:r>
      <w:proofErr w:type="gramStart"/>
      <w:r>
        <w:rPr>
          <w:rFonts w:ascii="仿宋" w:eastAsia="仿宋" w:hAnsi="仿宋" w:hint="eastAsia"/>
          <w:sz w:val="32"/>
          <w:szCs w:val="32"/>
        </w:rPr>
        <w:t>调节课面和椅面的</w:t>
      </w:r>
      <w:proofErr w:type="gramEnd"/>
      <w:r>
        <w:rPr>
          <w:rFonts w:ascii="仿宋" w:eastAsia="仿宋" w:hAnsi="仿宋" w:hint="eastAsia"/>
          <w:sz w:val="32"/>
          <w:szCs w:val="32"/>
        </w:rPr>
        <w:t>高度。</w:t>
      </w:r>
    </w:p>
    <w:p w14:paraId="522075E0" w14:textId="77777777" w:rsidR="0079563F" w:rsidRDefault="00EE5000" w:rsidP="009204FE">
      <w:pPr>
        <w:spacing w:line="460" w:lineRule="exact"/>
        <w:ind w:firstLineChars="250" w:firstLine="800"/>
        <w:jc w:val="left"/>
        <w:rPr>
          <w:rFonts w:ascii="仿宋" w:eastAsia="仿宋" w:hAnsi="仿宋"/>
          <w:sz w:val="32"/>
          <w:szCs w:val="32"/>
        </w:rPr>
      </w:pPr>
      <w:r>
        <w:rPr>
          <w:rFonts w:ascii="仿宋" w:eastAsia="仿宋" w:hAnsi="仿宋" w:hint="eastAsia"/>
          <w:sz w:val="32"/>
          <w:szCs w:val="32"/>
        </w:rPr>
        <w:t>专用教室和实验室的桌椅尺寸参照所使用年级普通教室课桌椅，桌椅应符合相关功能教室课堂组织方式的要求。</w:t>
      </w:r>
    </w:p>
    <w:p w14:paraId="4256E83E" w14:textId="77777777" w:rsidR="0079563F" w:rsidRDefault="00EE5000" w:rsidP="009204FE">
      <w:pPr>
        <w:spacing w:line="460" w:lineRule="exact"/>
        <w:ind w:firstLineChars="250" w:firstLine="800"/>
        <w:jc w:val="left"/>
        <w:rPr>
          <w:rFonts w:ascii="仿宋" w:eastAsia="仿宋" w:hAnsi="仿宋"/>
          <w:sz w:val="32"/>
          <w:szCs w:val="32"/>
        </w:rPr>
      </w:pPr>
      <w:r>
        <w:rPr>
          <w:rFonts w:ascii="仿宋" w:eastAsia="仿宋" w:hAnsi="仿宋" w:hint="eastAsia"/>
          <w:sz w:val="32"/>
          <w:szCs w:val="32"/>
        </w:rPr>
        <w:t>第七条</w:t>
      </w:r>
      <w:r w:rsidR="000B792A">
        <w:rPr>
          <w:rFonts w:ascii="仿宋" w:eastAsia="仿宋" w:hAnsi="仿宋" w:hint="eastAsia"/>
          <w:sz w:val="32"/>
          <w:szCs w:val="32"/>
        </w:rPr>
        <w:t xml:space="preserve">  </w:t>
      </w:r>
      <w:r>
        <w:rPr>
          <w:rFonts w:ascii="仿宋" w:eastAsia="仿宋" w:hAnsi="仿宋" w:hint="eastAsia"/>
          <w:sz w:val="32"/>
          <w:szCs w:val="32"/>
        </w:rPr>
        <w:t>课桌椅形态要符合人体工学要求，除基本尺寸符合各种型号要求外，</w:t>
      </w:r>
      <w:r w:rsidRPr="00E20D4A">
        <w:rPr>
          <w:rFonts w:ascii="仿宋" w:eastAsia="仿宋" w:hAnsi="仿宋" w:hint="eastAsia"/>
          <w:sz w:val="32"/>
          <w:szCs w:val="32"/>
        </w:rPr>
        <w:t>课桌椅</w:t>
      </w:r>
      <w:proofErr w:type="gramStart"/>
      <w:r w:rsidRPr="00E20D4A">
        <w:rPr>
          <w:rFonts w:ascii="仿宋" w:eastAsia="仿宋" w:hAnsi="仿宋" w:hint="eastAsia"/>
          <w:sz w:val="32"/>
          <w:szCs w:val="32"/>
        </w:rPr>
        <w:t>屉</w:t>
      </w:r>
      <w:proofErr w:type="gramEnd"/>
      <w:r w:rsidRPr="00E20D4A">
        <w:rPr>
          <w:rFonts w:ascii="仿宋" w:eastAsia="仿宋" w:hAnsi="仿宋" w:hint="eastAsia"/>
          <w:sz w:val="32"/>
          <w:szCs w:val="32"/>
        </w:rPr>
        <w:t>箱下沿至桌面的高度应不大于13cm；</w:t>
      </w:r>
      <w:r>
        <w:rPr>
          <w:rFonts w:ascii="仿宋" w:eastAsia="仿宋" w:hAnsi="仿宋" w:hint="eastAsia"/>
          <w:sz w:val="32"/>
          <w:szCs w:val="32"/>
        </w:rPr>
        <w:t>椅座面向后下倾斜0-2度，</w:t>
      </w:r>
      <w:proofErr w:type="gramStart"/>
      <w:r>
        <w:rPr>
          <w:rFonts w:ascii="仿宋" w:eastAsia="仿宋" w:hAnsi="仿宋" w:hint="eastAsia"/>
          <w:sz w:val="32"/>
          <w:szCs w:val="32"/>
        </w:rPr>
        <w:t>座面沿正中线</w:t>
      </w:r>
      <w:proofErr w:type="gramEnd"/>
      <w:r>
        <w:rPr>
          <w:rFonts w:ascii="仿宋" w:eastAsia="仿宋" w:hAnsi="仿宋" w:hint="eastAsia"/>
          <w:sz w:val="32"/>
          <w:szCs w:val="32"/>
        </w:rPr>
        <w:t>如呈凹面时，其曲率半径在500毫米以上，座面前缘及两角钝圆，座面如为实木可根据型号</w:t>
      </w:r>
      <w:proofErr w:type="gramStart"/>
      <w:r>
        <w:rPr>
          <w:rFonts w:ascii="仿宋" w:eastAsia="仿宋" w:hAnsi="仿宋" w:hint="eastAsia"/>
          <w:sz w:val="32"/>
          <w:szCs w:val="32"/>
        </w:rPr>
        <w:t>大小刨制适宜</w:t>
      </w:r>
      <w:proofErr w:type="gramEnd"/>
      <w:r>
        <w:rPr>
          <w:rFonts w:ascii="仿宋" w:eastAsia="仿宋" w:hAnsi="仿宋" w:hint="eastAsia"/>
          <w:sz w:val="32"/>
          <w:szCs w:val="32"/>
        </w:rPr>
        <w:t>的“坐印”；靠背点以上应向后倾斜，与垂直面之间呈6-12度，靠背面的前</w:t>
      </w:r>
      <w:proofErr w:type="gramStart"/>
      <w:r>
        <w:rPr>
          <w:rFonts w:ascii="仿宋" w:eastAsia="仿宋" w:hAnsi="仿宋" w:hint="eastAsia"/>
          <w:sz w:val="32"/>
          <w:szCs w:val="32"/>
        </w:rPr>
        <w:t>凸应呈漫圆状</w:t>
      </w:r>
      <w:proofErr w:type="gramEnd"/>
      <w:r>
        <w:rPr>
          <w:rFonts w:ascii="仿宋" w:eastAsia="仿宋" w:hAnsi="仿宋" w:hint="eastAsia"/>
          <w:sz w:val="32"/>
          <w:szCs w:val="32"/>
        </w:rPr>
        <w:t>，上、下缘加成弧形，靠背下缘与座面后缘之间应留有净空。</w:t>
      </w:r>
    </w:p>
    <w:p w14:paraId="1B187282"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第八条</w:t>
      </w:r>
      <w:r w:rsidR="000B792A">
        <w:rPr>
          <w:rFonts w:ascii="仿宋" w:eastAsia="仿宋" w:hAnsi="仿宋" w:hint="eastAsia"/>
          <w:sz w:val="32"/>
          <w:szCs w:val="32"/>
        </w:rPr>
        <w:t xml:space="preserve">  </w:t>
      </w:r>
      <w:r>
        <w:rPr>
          <w:rFonts w:ascii="仿宋" w:eastAsia="仿宋" w:hAnsi="仿宋" w:hint="eastAsia"/>
          <w:sz w:val="32"/>
          <w:szCs w:val="32"/>
        </w:rPr>
        <w:t>课桌椅实木木材含水率应为8-15.9%，板基材厚度不小于16毫米,采用清水</w:t>
      </w:r>
      <w:proofErr w:type="gramStart"/>
      <w:r>
        <w:rPr>
          <w:rFonts w:ascii="仿宋" w:eastAsia="仿宋" w:hAnsi="仿宋" w:hint="eastAsia"/>
          <w:sz w:val="32"/>
          <w:szCs w:val="32"/>
        </w:rPr>
        <w:t>聚酯漆涂装</w:t>
      </w:r>
      <w:proofErr w:type="gramEnd"/>
      <w:r>
        <w:rPr>
          <w:rFonts w:ascii="仿宋" w:eastAsia="仿宋" w:hAnsi="仿宋" w:hint="eastAsia"/>
          <w:sz w:val="32"/>
          <w:szCs w:val="32"/>
        </w:rPr>
        <w:t>，为透明亚光漆。</w:t>
      </w:r>
    </w:p>
    <w:p w14:paraId="13EDB2DB"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塑钢的塑料原材料为聚乙烯或者聚丙烯,厚度不小于3毫米,</w:t>
      </w:r>
      <w:proofErr w:type="gramStart"/>
      <w:r>
        <w:rPr>
          <w:rFonts w:ascii="仿宋" w:eastAsia="仿宋" w:hAnsi="仿宋" w:hint="eastAsia"/>
          <w:sz w:val="32"/>
          <w:szCs w:val="32"/>
        </w:rPr>
        <w:t>塑料件仅限于</w:t>
      </w:r>
      <w:proofErr w:type="gramEnd"/>
      <w:r>
        <w:rPr>
          <w:rFonts w:ascii="仿宋" w:eastAsia="仿宋" w:hAnsi="仿宋" w:hint="eastAsia"/>
          <w:sz w:val="32"/>
          <w:szCs w:val="32"/>
        </w:rPr>
        <w:t>桌面、椅面、椅靠背和</w:t>
      </w:r>
      <w:proofErr w:type="gramStart"/>
      <w:r>
        <w:rPr>
          <w:rFonts w:ascii="仿宋" w:eastAsia="仿宋" w:hAnsi="仿宋" w:hint="eastAsia"/>
          <w:sz w:val="32"/>
          <w:szCs w:val="32"/>
        </w:rPr>
        <w:t>屉箱</w:t>
      </w:r>
      <w:proofErr w:type="gramEnd"/>
      <w:r>
        <w:rPr>
          <w:rFonts w:ascii="仿宋" w:eastAsia="仿宋" w:hAnsi="仿宋" w:hint="eastAsia"/>
          <w:sz w:val="32"/>
          <w:szCs w:val="32"/>
        </w:rPr>
        <w:t>部位，结合部位不得出现松动，零部件不得出现劈裂。</w:t>
      </w:r>
    </w:p>
    <w:p w14:paraId="20F335EE"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金属脚架钢板厚度不小于1.2毫米 ,金属箱体壁厚不小于1毫米；</w:t>
      </w:r>
      <w:proofErr w:type="gramStart"/>
      <w:r>
        <w:rPr>
          <w:rFonts w:ascii="仿宋" w:eastAsia="仿宋" w:hAnsi="仿宋" w:hint="eastAsia"/>
          <w:sz w:val="32"/>
          <w:szCs w:val="32"/>
        </w:rPr>
        <w:t>塑料套脚厚度</w:t>
      </w:r>
      <w:proofErr w:type="gramEnd"/>
      <w:r>
        <w:rPr>
          <w:rFonts w:ascii="仿宋" w:eastAsia="仿宋" w:hAnsi="仿宋" w:hint="eastAsia"/>
          <w:sz w:val="32"/>
          <w:szCs w:val="32"/>
        </w:rPr>
        <w:t>不小于3毫米。</w:t>
      </w:r>
    </w:p>
    <w:p w14:paraId="2D68B20B" w14:textId="77777777" w:rsidR="0079563F" w:rsidRDefault="00EE5000" w:rsidP="009204FE">
      <w:pPr>
        <w:spacing w:line="460" w:lineRule="exact"/>
        <w:jc w:val="left"/>
        <w:rPr>
          <w:rFonts w:ascii="仿宋" w:eastAsia="仿宋" w:hAnsi="仿宋"/>
          <w:sz w:val="32"/>
          <w:szCs w:val="32"/>
        </w:rPr>
      </w:pPr>
      <w:r>
        <w:rPr>
          <w:rFonts w:ascii="仿宋" w:eastAsia="仿宋" w:hAnsi="仿宋" w:hint="eastAsia"/>
          <w:sz w:val="32"/>
          <w:szCs w:val="32"/>
        </w:rPr>
        <w:t xml:space="preserve">    第九条</w:t>
      </w:r>
      <w:r w:rsidR="000B792A">
        <w:rPr>
          <w:rFonts w:ascii="仿宋" w:eastAsia="仿宋" w:hAnsi="仿宋" w:hint="eastAsia"/>
          <w:sz w:val="32"/>
          <w:szCs w:val="32"/>
        </w:rPr>
        <w:t xml:space="preserve">  </w:t>
      </w:r>
      <w:r>
        <w:rPr>
          <w:rFonts w:ascii="仿宋" w:eastAsia="仿宋" w:hAnsi="仿宋" w:hint="eastAsia"/>
          <w:sz w:val="32"/>
          <w:szCs w:val="32"/>
        </w:rPr>
        <w:t xml:space="preserve">各区制定课桌椅年度采购计划，以单人课桌椅限额600元、双人课桌椅限额1000元安排采购预算，分型号汇总各学校课桌椅需求数，采取集中公开招标的方式进行采购，如采购金额较小可采用协议采购供应方式。  </w:t>
      </w:r>
    </w:p>
    <w:p w14:paraId="24832DE2"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第十条</w:t>
      </w:r>
      <w:r w:rsidR="000B792A">
        <w:rPr>
          <w:rFonts w:ascii="仿宋" w:eastAsia="仿宋" w:hAnsi="仿宋" w:hint="eastAsia"/>
          <w:sz w:val="32"/>
          <w:szCs w:val="32"/>
        </w:rPr>
        <w:t xml:space="preserve">  </w:t>
      </w:r>
      <w:r>
        <w:rPr>
          <w:rFonts w:ascii="仿宋" w:eastAsia="仿宋" w:hAnsi="仿宋" w:hint="eastAsia"/>
          <w:sz w:val="32"/>
          <w:szCs w:val="32"/>
        </w:rPr>
        <w:t>采购文件中应明确学生课桌椅的质量标准以及抽检要求；评标时应对课桌椅的价格、性能、配置要求、检</w:t>
      </w:r>
      <w:r>
        <w:rPr>
          <w:rFonts w:ascii="仿宋" w:eastAsia="仿宋" w:hAnsi="仿宋" w:hint="eastAsia"/>
          <w:sz w:val="32"/>
          <w:szCs w:val="32"/>
        </w:rPr>
        <w:lastRenderedPageBreak/>
        <w:t>测报告（环保产品认证证书）、样品、售后服务方案等进行综合评定。</w:t>
      </w:r>
    </w:p>
    <w:p w14:paraId="5784016E"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第十一条</w:t>
      </w:r>
      <w:r w:rsidR="000B792A">
        <w:rPr>
          <w:rFonts w:ascii="仿宋" w:eastAsia="仿宋" w:hAnsi="仿宋" w:hint="eastAsia"/>
          <w:sz w:val="32"/>
          <w:szCs w:val="32"/>
        </w:rPr>
        <w:t xml:space="preserve">  </w:t>
      </w:r>
      <w:r>
        <w:rPr>
          <w:rFonts w:ascii="仿宋" w:eastAsia="仿宋" w:hAnsi="仿宋" w:hint="eastAsia"/>
          <w:sz w:val="32"/>
          <w:szCs w:val="32"/>
        </w:rPr>
        <w:t>各采购单位</w:t>
      </w:r>
      <w:proofErr w:type="gramStart"/>
      <w:r>
        <w:rPr>
          <w:rFonts w:ascii="仿宋" w:eastAsia="仿宋" w:hAnsi="仿宋" w:hint="eastAsia"/>
          <w:sz w:val="32"/>
          <w:szCs w:val="32"/>
        </w:rPr>
        <w:t>需组成</w:t>
      </w:r>
      <w:proofErr w:type="gramEnd"/>
      <w:r>
        <w:rPr>
          <w:rFonts w:ascii="仿宋" w:eastAsia="仿宋" w:hAnsi="仿宋" w:hint="eastAsia"/>
          <w:sz w:val="32"/>
          <w:szCs w:val="32"/>
        </w:rPr>
        <w:t>以专业人员为主的验收小组，依据合同和投标文件开展验收。</w:t>
      </w:r>
    </w:p>
    <w:p w14:paraId="7E37B9FD"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课桌椅验收应注重其安全性。金属件应无端部未封口的管件，闷盖不易脱落；与人体接触的部位、存放物品的部位不得留有毛刺、角</w:t>
      </w:r>
      <w:proofErr w:type="gramStart"/>
      <w:r>
        <w:rPr>
          <w:rFonts w:ascii="仿宋" w:eastAsia="仿宋" w:hAnsi="仿宋" w:hint="eastAsia"/>
          <w:sz w:val="32"/>
          <w:szCs w:val="32"/>
        </w:rPr>
        <w:t>刃</w:t>
      </w:r>
      <w:proofErr w:type="gramEnd"/>
      <w:r>
        <w:rPr>
          <w:rFonts w:ascii="仿宋" w:eastAsia="仿宋" w:hAnsi="仿宋" w:hint="eastAsia"/>
          <w:sz w:val="32"/>
          <w:szCs w:val="32"/>
        </w:rPr>
        <w:t>、锐棱、</w:t>
      </w:r>
      <w:proofErr w:type="gramStart"/>
      <w:r>
        <w:rPr>
          <w:rFonts w:ascii="仿宋" w:eastAsia="仿宋" w:hAnsi="仿宋" w:hint="eastAsia"/>
          <w:sz w:val="32"/>
          <w:szCs w:val="32"/>
        </w:rPr>
        <w:t>透钉及其</w:t>
      </w:r>
      <w:proofErr w:type="gramEnd"/>
      <w:r>
        <w:rPr>
          <w:rFonts w:ascii="仿宋" w:eastAsia="仿宋" w:hAnsi="仿宋" w:hint="eastAsia"/>
          <w:sz w:val="32"/>
          <w:szCs w:val="32"/>
        </w:rPr>
        <w:t>它尖锐物；对于有挂钩的课桌，挂钩要进行隐蔽安装，防止衣物勾带。</w:t>
      </w:r>
    </w:p>
    <w:p w14:paraId="3AE727BB"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课桌椅验收应进行随机抽样检测。整件的力学性能试验，板材的甲醛、苯、甲苯与二甲苯（含乙苯）释放量，油漆涂层可溶性重金属含量、苯、二甲苯释放量，塑料外观颜色变色、冲击强度、耐老化试验，均应达相关国家标准。</w:t>
      </w:r>
    </w:p>
    <w:p w14:paraId="50EBFE7C" w14:textId="77777777" w:rsidR="0079563F" w:rsidRDefault="00EE5000" w:rsidP="009204FE">
      <w:pPr>
        <w:spacing w:line="460" w:lineRule="exact"/>
        <w:jc w:val="center"/>
        <w:rPr>
          <w:rFonts w:ascii="仿宋" w:eastAsia="仿宋" w:hAnsi="仿宋"/>
          <w:b/>
          <w:sz w:val="32"/>
          <w:szCs w:val="32"/>
        </w:rPr>
      </w:pPr>
      <w:r>
        <w:rPr>
          <w:rFonts w:ascii="仿宋" w:eastAsia="仿宋" w:hAnsi="仿宋" w:hint="eastAsia"/>
          <w:b/>
          <w:sz w:val="32"/>
          <w:szCs w:val="32"/>
        </w:rPr>
        <w:t>第三章 配备使用</w:t>
      </w:r>
    </w:p>
    <w:p w14:paraId="088EB4D1" w14:textId="77777777" w:rsidR="0079563F" w:rsidRDefault="00EE5000" w:rsidP="009204FE">
      <w:pPr>
        <w:spacing w:line="460" w:lineRule="exact"/>
        <w:ind w:firstLineChars="250" w:firstLine="800"/>
        <w:jc w:val="left"/>
        <w:rPr>
          <w:rFonts w:ascii="仿宋" w:eastAsia="仿宋" w:hAnsi="仿宋"/>
          <w:sz w:val="32"/>
          <w:szCs w:val="32"/>
        </w:rPr>
      </w:pPr>
      <w:r>
        <w:rPr>
          <w:rFonts w:ascii="仿宋" w:eastAsia="仿宋" w:hAnsi="仿宋" w:hint="eastAsia"/>
          <w:sz w:val="32"/>
          <w:szCs w:val="32"/>
        </w:rPr>
        <w:t>第十二条</w:t>
      </w:r>
      <w:r w:rsidR="000B792A">
        <w:rPr>
          <w:rFonts w:ascii="仿宋" w:eastAsia="仿宋" w:hAnsi="仿宋" w:hint="eastAsia"/>
          <w:sz w:val="32"/>
          <w:szCs w:val="32"/>
        </w:rPr>
        <w:t xml:space="preserve">  </w:t>
      </w:r>
      <w:r>
        <w:rPr>
          <w:rFonts w:ascii="仿宋" w:eastAsia="仿宋" w:hAnsi="仿宋" w:hint="eastAsia"/>
          <w:sz w:val="32"/>
          <w:szCs w:val="32"/>
        </w:rPr>
        <w:t>学校在制定课桌椅采购需要时，应按照《标准》第4.5款（中小学课桌椅各型号的标准身高、身高范围）的要求，</w:t>
      </w:r>
      <w:r w:rsidRPr="00E20D4A">
        <w:rPr>
          <w:rFonts w:ascii="仿宋" w:eastAsia="仿宋" w:hAnsi="仿宋" w:hint="eastAsia"/>
          <w:sz w:val="32"/>
          <w:szCs w:val="32"/>
        </w:rPr>
        <w:t>参照相关年级学生上学期末的身高，</w:t>
      </w:r>
      <w:r>
        <w:rPr>
          <w:rFonts w:ascii="仿宋" w:eastAsia="仿宋" w:hAnsi="仿宋" w:hint="eastAsia"/>
          <w:sz w:val="32"/>
          <w:szCs w:val="32"/>
        </w:rPr>
        <w:t>选择与学生身高相匹配的课桌椅型号及比例。</w:t>
      </w:r>
    </w:p>
    <w:p w14:paraId="65BB5A44"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小学、初中学校分年级统一型号及相应的比例，小学各年级在国标2-10号课桌和课椅中至少选择配备三种型号，初中各年级在国际1-5号课桌和课椅中至少选择配备三种型号；高中学校统一课桌椅型号及相应的比例，在国标0-4号课桌和课椅中至少选择配备三种型号。</w:t>
      </w:r>
    </w:p>
    <w:p w14:paraId="5F82C036"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第十三条</w:t>
      </w:r>
      <w:r w:rsidR="000B792A">
        <w:rPr>
          <w:rFonts w:ascii="仿宋" w:eastAsia="仿宋" w:hAnsi="仿宋" w:hint="eastAsia"/>
          <w:sz w:val="32"/>
          <w:szCs w:val="32"/>
        </w:rPr>
        <w:t xml:space="preserve">  </w:t>
      </w:r>
      <w:r>
        <w:rPr>
          <w:rFonts w:ascii="仿宋" w:eastAsia="仿宋" w:hAnsi="仿宋" w:hint="eastAsia"/>
          <w:sz w:val="32"/>
          <w:szCs w:val="32"/>
        </w:rPr>
        <w:t>小学、初中学校普通教室按年级</w:t>
      </w:r>
      <w:proofErr w:type="gramStart"/>
      <w:r>
        <w:rPr>
          <w:rFonts w:ascii="仿宋" w:eastAsia="仿宋" w:hAnsi="仿宋" w:hint="eastAsia"/>
          <w:sz w:val="32"/>
          <w:szCs w:val="32"/>
        </w:rPr>
        <w:t>固定课</w:t>
      </w:r>
      <w:proofErr w:type="gramEnd"/>
      <w:r>
        <w:rPr>
          <w:rFonts w:ascii="仿宋" w:eastAsia="仿宋" w:hAnsi="仿宋" w:hint="eastAsia"/>
          <w:sz w:val="32"/>
          <w:szCs w:val="32"/>
        </w:rPr>
        <w:t>桌椅，学生随年级换教室；高中三年学生课桌椅相对固定配备，个别学生可年度申请调整，高中学校课桌椅数量按学生数的1.1倍配备。</w:t>
      </w:r>
    </w:p>
    <w:p w14:paraId="3614CBD5"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学校实验室、专用教室课桌椅的高度参照普通教室课桌椅相应型号及比例的要求，小学、初中学校要求分年级配置实验室、专用教室，规模小的学校做不到分年级配置，其课</w:t>
      </w:r>
      <w:r>
        <w:rPr>
          <w:rFonts w:ascii="仿宋" w:eastAsia="仿宋" w:hAnsi="仿宋" w:hint="eastAsia"/>
          <w:sz w:val="32"/>
          <w:szCs w:val="32"/>
        </w:rPr>
        <w:lastRenderedPageBreak/>
        <w:t>桌椅的高度要兼顾</w:t>
      </w:r>
      <w:proofErr w:type="gramStart"/>
      <w:r>
        <w:rPr>
          <w:rFonts w:ascii="仿宋" w:eastAsia="仿宋" w:hAnsi="仿宋" w:hint="eastAsia"/>
          <w:sz w:val="32"/>
          <w:szCs w:val="32"/>
        </w:rPr>
        <w:t>不</w:t>
      </w:r>
      <w:proofErr w:type="gramEnd"/>
      <w:r>
        <w:rPr>
          <w:rFonts w:ascii="仿宋" w:eastAsia="仿宋" w:hAnsi="仿宋" w:hint="eastAsia"/>
          <w:sz w:val="32"/>
          <w:szCs w:val="32"/>
        </w:rPr>
        <w:t>同年级学生的身高状况。</w:t>
      </w:r>
    </w:p>
    <w:p w14:paraId="56DC79A7"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一般同号课桌与课椅相匹配，也可相邻型号的课桌与课椅搭配。</w:t>
      </w:r>
    </w:p>
    <w:p w14:paraId="6333DC40"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第十四条</w:t>
      </w:r>
      <w:r w:rsidR="000B792A">
        <w:rPr>
          <w:rFonts w:ascii="仿宋" w:eastAsia="仿宋" w:hAnsi="仿宋" w:hint="eastAsia"/>
          <w:sz w:val="32"/>
          <w:szCs w:val="32"/>
        </w:rPr>
        <w:t xml:space="preserve">  </w:t>
      </w:r>
      <w:r>
        <w:rPr>
          <w:rFonts w:ascii="仿宋" w:eastAsia="仿宋" w:hAnsi="仿宋" w:hint="eastAsia"/>
          <w:sz w:val="32"/>
          <w:szCs w:val="32"/>
        </w:rPr>
        <w:t>教室课</w:t>
      </w:r>
      <w:proofErr w:type="gramStart"/>
      <w:r>
        <w:rPr>
          <w:rFonts w:ascii="仿宋" w:eastAsia="仿宋" w:hAnsi="仿宋" w:hint="eastAsia"/>
          <w:sz w:val="32"/>
          <w:szCs w:val="32"/>
        </w:rPr>
        <w:t>桌椅按矮的</w:t>
      </w:r>
      <w:proofErr w:type="gramEnd"/>
      <w:r>
        <w:rPr>
          <w:rFonts w:ascii="仿宋" w:eastAsia="仿宋" w:hAnsi="仿宋" w:hint="eastAsia"/>
          <w:sz w:val="32"/>
          <w:szCs w:val="32"/>
        </w:rPr>
        <w:t>在前、高的在后的方式排列，前排边座学生与黑板远端的水平视角不小于30°，最前排课桌的前沿与教学黑板的水平距离不小于2.20米，最后一排课桌的后沿与黑板的水平距离小学不大于8.00米、中学不大于8.50米，教室纵向走道宽度均不小于0.60米，教室后端横向走道不小于0.60米。</w:t>
      </w:r>
    </w:p>
    <w:p w14:paraId="57956242"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三年级及以上各年级普通教室应设置学生专用的组合储物柜。</w:t>
      </w:r>
    </w:p>
    <w:p w14:paraId="18E7641B"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第十五条</w:t>
      </w:r>
      <w:r w:rsidR="000B792A">
        <w:rPr>
          <w:rFonts w:ascii="仿宋" w:eastAsia="仿宋" w:hAnsi="仿宋" w:hint="eastAsia"/>
          <w:sz w:val="32"/>
          <w:szCs w:val="32"/>
        </w:rPr>
        <w:t xml:space="preserve">  </w:t>
      </w:r>
      <w:r>
        <w:rPr>
          <w:rFonts w:ascii="仿宋" w:eastAsia="仿宋" w:hAnsi="仿宋" w:hint="eastAsia"/>
          <w:sz w:val="32"/>
          <w:szCs w:val="32"/>
        </w:rPr>
        <w:t>学校应及时做好课桌椅的资产登记造册、资产账务调整工作，建立与学生一一对应的班级课桌椅表册；课桌椅实行班级托管制度，纳入班级工作考核内容。</w:t>
      </w:r>
    </w:p>
    <w:p w14:paraId="7FF82962"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第十六条</w:t>
      </w:r>
      <w:r w:rsidR="000B792A">
        <w:rPr>
          <w:rFonts w:ascii="仿宋" w:eastAsia="仿宋" w:hAnsi="仿宋" w:hint="eastAsia"/>
          <w:sz w:val="32"/>
          <w:szCs w:val="32"/>
        </w:rPr>
        <w:t xml:space="preserve">  </w:t>
      </w:r>
      <w:r>
        <w:rPr>
          <w:rFonts w:ascii="仿宋" w:eastAsia="仿宋" w:hAnsi="仿宋" w:hint="eastAsia"/>
          <w:sz w:val="32"/>
          <w:szCs w:val="32"/>
        </w:rPr>
        <w:t>班主任应指导学生安全、规范使用课桌椅，严禁在课桌椅上乱涂、乱刻、乱画、粘贴面片，不准随意拧、撬桌椅螺丝、钉帽，培养学生爱护公物的良好美德。</w:t>
      </w:r>
    </w:p>
    <w:p w14:paraId="6E58A30A"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任课教师应重视教育学生培养良好的写字、读书习惯，引导学生掌握正确的坐姿、用眼规范。</w:t>
      </w:r>
    </w:p>
    <w:p w14:paraId="59739C02" w14:textId="77777777" w:rsidR="0079563F" w:rsidRDefault="00EE5000" w:rsidP="009204FE">
      <w:pPr>
        <w:spacing w:line="460" w:lineRule="exact"/>
        <w:jc w:val="center"/>
        <w:rPr>
          <w:rFonts w:ascii="仿宋" w:eastAsia="仿宋" w:hAnsi="仿宋"/>
          <w:b/>
          <w:sz w:val="32"/>
          <w:szCs w:val="32"/>
        </w:rPr>
      </w:pPr>
      <w:r>
        <w:rPr>
          <w:rFonts w:ascii="仿宋" w:eastAsia="仿宋" w:hAnsi="仿宋" w:hint="eastAsia"/>
          <w:b/>
          <w:sz w:val="32"/>
          <w:szCs w:val="32"/>
        </w:rPr>
        <w:t>第四章 维护更新</w:t>
      </w:r>
    </w:p>
    <w:p w14:paraId="4334EFCA"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第十七条</w:t>
      </w:r>
      <w:r w:rsidR="000B792A">
        <w:rPr>
          <w:rFonts w:ascii="仿宋" w:eastAsia="仿宋" w:hAnsi="仿宋" w:hint="eastAsia"/>
          <w:sz w:val="32"/>
          <w:szCs w:val="32"/>
        </w:rPr>
        <w:t xml:space="preserve">  </w:t>
      </w:r>
      <w:r>
        <w:rPr>
          <w:rFonts w:ascii="仿宋" w:eastAsia="仿宋" w:hAnsi="仿宋" w:hint="eastAsia"/>
          <w:sz w:val="32"/>
          <w:szCs w:val="32"/>
        </w:rPr>
        <w:t>学校应专人定期检查课桌椅使用状况，质</w:t>
      </w:r>
      <w:proofErr w:type="gramStart"/>
      <w:r>
        <w:rPr>
          <w:rFonts w:ascii="仿宋" w:eastAsia="仿宋" w:hAnsi="仿宋" w:hint="eastAsia"/>
          <w:sz w:val="32"/>
          <w:szCs w:val="32"/>
        </w:rPr>
        <w:t>保期内课桌椅</w:t>
      </w:r>
      <w:proofErr w:type="gramEnd"/>
      <w:r>
        <w:rPr>
          <w:rFonts w:ascii="仿宋" w:eastAsia="仿宋" w:hAnsi="仿宋" w:hint="eastAsia"/>
          <w:sz w:val="32"/>
          <w:szCs w:val="32"/>
        </w:rPr>
        <w:t>发生结构性损坏、非正常性磨损要督促供应商负责免费维修，如出现批量问题要责成供应商免费及时更换，对更新的课桌椅要严把质量关，课桌椅质保期不少于6年；质保期</w:t>
      </w:r>
      <w:proofErr w:type="gramStart"/>
      <w:r>
        <w:rPr>
          <w:rFonts w:ascii="仿宋" w:eastAsia="仿宋" w:hAnsi="仿宋" w:hint="eastAsia"/>
          <w:sz w:val="32"/>
          <w:szCs w:val="32"/>
        </w:rPr>
        <w:t>外供应</w:t>
      </w:r>
      <w:proofErr w:type="gramEnd"/>
      <w:r>
        <w:rPr>
          <w:rFonts w:ascii="仿宋" w:eastAsia="仿宋" w:hAnsi="仿宋" w:hint="eastAsia"/>
          <w:sz w:val="32"/>
          <w:szCs w:val="32"/>
        </w:rPr>
        <w:t>商按新签订的</w:t>
      </w:r>
      <w:proofErr w:type="gramStart"/>
      <w:r>
        <w:rPr>
          <w:rFonts w:ascii="仿宋" w:eastAsia="仿宋" w:hAnsi="仿宋" w:hint="eastAsia"/>
          <w:sz w:val="32"/>
          <w:szCs w:val="32"/>
        </w:rPr>
        <w:t>维保协议</w:t>
      </w:r>
      <w:proofErr w:type="gramEnd"/>
      <w:r>
        <w:rPr>
          <w:rFonts w:ascii="仿宋" w:eastAsia="仿宋" w:hAnsi="仿宋" w:hint="eastAsia"/>
          <w:sz w:val="32"/>
          <w:szCs w:val="32"/>
        </w:rPr>
        <w:t xml:space="preserve">负责维修。 </w:t>
      </w:r>
    </w:p>
    <w:p w14:paraId="60DFE3E9"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学校要建立学生损坏课桌椅的赔偿制度。</w:t>
      </w:r>
    </w:p>
    <w:p w14:paraId="08373F15"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第十八条</w:t>
      </w:r>
      <w:r w:rsidR="000B792A">
        <w:rPr>
          <w:rFonts w:ascii="仿宋" w:eastAsia="仿宋" w:hAnsi="仿宋" w:hint="eastAsia"/>
          <w:sz w:val="32"/>
          <w:szCs w:val="32"/>
        </w:rPr>
        <w:t xml:space="preserve">  </w:t>
      </w:r>
      <w:r>
        <w:rPr>
          <w:rFonts w:ascii="仿宋" w:eastAsia="仿宋" w:hAnsi="仿宋" w:hint="eastAsia"/>
          <w:sz w:val="32"/>
          <w:szCs w:val="32"/>
        </w:rPr>
        <w:t>学生课桌椅使用最低年限为8年，超过8年经评估同意可整体更新，对更换下来但仍有使用价值的课桌椅，区教育局装备部门或学校可进行集中修理，在一定范围</w:t>
      </w:r>
      <w:r>
        <w:rPr>
          <w:rFonts w:ascii="仿宋" w:eastAsia="仿宋" w:hAnsi="仿宋" w:hint="eastAsia"/>
          <w:sz w:val="32"/>
          <w:szCs w:val="32"/>
        </w:rPr>
        <w:lastRenderedPageBreak/>
        <w:t>内调配使用，并及时做好资产调整。</w:t>
      </w:r>
    </w:p>
    <w:p w14:paraId="4A7BCF83" w14:textId="77777777" w:rsidR="0079563F" w:rsidRDefault="00EE5000" w:rsidP="009204FE">
      <w:pPr>
        <w:spacing w:line="460" w:lineRule="exact"/>
        <w:jc w:val="center"/>
        <w:rPr>
          <w:rFonts w:ascii="仿宋" w:eastAsia="仿宋" w:hAnsi="仿宋"/>
          <w:b/>
          <w:sz w:val="32"/>
          <w:szCs w:val="32"/>
        </w:rPr>
      </w:pPr>
      <w:r>
        <w:rPr>
          <w:rFonts w:ascii="仿宋" w:eastAsia="仿宋" w:hAnsi="仿宋" w:hint="eastAsia"/>
          <w:b/>
          <w:sz w:val="32"/>
          <w:szCs w:val="32"/>
        </w:rPr>
        <w:t>第五章 监督评估</w:t>
      </w:r>
    </w:p>
    <w:p w14:paraId="0AD4A7FD"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第十九条</w:t>
      </w:r>
      <w:r w:rsidR="000B792A">
        <w:rPr>
          <w:rFonts w:ascii="仿宋" w:eastAsia="仿宋" w:hAnsi="仿宋" w:hint="eastAsia"/>
          <w:sz w:val="32"/>
          <w:szCs w:val="32"/>
        </w:rPr>
        <w:t xml:space="preserve">  </w:t>
      </w:r>
      <w:r>
        <w:rPr>
          <w:rFonts w:ascii="仿宋" w:eastAsia="仿宋" w:hAnsi="仿宋" w:hint="eastAsia"/>
          <w:sz w:val="32"/>
          <w:szCs w:val="32"/>
        </w:rPr>
        <w:t xml:space="preserve">市、区教育装备部门应做好课桌椅配备管理的专业培训，提高全市中小学贯彻执行标准的业务能力。 </w:t>
      </w:r>
    </w:p>
    <w:p w14:paraId="1B3D4EC2" w14:textId="77777777" w:rsidR="0079563F" w:rsidRDefault="00EE5000" w:rsidP="009204FE">
      <w:pPr>
        <w:spacing w:line="460" w:lineRule="exact"/>
        <w:ind w:firstLineChars="200" w:firstLine="640"/>
        <w:jc w:val="left"/>
        <w:rPr>
          <w:rFonts w:ascii="仿宋" w:eastAsia="仿宋" w:hAnsi="仿宋"/>
          <w:sz w:val="32"/>
          <w:szCs w:val="32"/>
        </w:rPr>
      </w:pPr>
      <w:r w:rsidRPr="00E20D4A">
        <w:rPr>
          <w:rFonts w:ascii="仿宋" w:eastAsia="仿宋" w:hAnsi="仿宋" w:hint="eastAsia"/>
          <w:sz w:val="32"/>
          <w:szCs w:val="32"/>
        </w:rPr>
        <w:t>区教育部门牵头会同卫生保健部门每两年一次组织对辖区学校课桌椅与学生身高符合率进行抽检评估，</w:t>
      </w:r>
      <w:r>
        <w:rPr>
          <w:rFonts w:ascii="仿宋" w:eastAsia="仿宋" w:hAnsi="仿宋" w:hint="eastAsia"/>
          <w:sz w:val="32"/>
          <w:szCs w:val="32"/>
        </w:rPr>
        <w:t>并形成评估报告，总结管理经验在全区内推广。</w:t>
      </w:r>
    </w:p>
    <w:p w14:paraId="1A0324A6"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第二十条</w:t>
      </w:r>
      <w:r w:rsidR="000B792A">
        <w:rPr>
          <w:rFonts w:ascii="仿宋" w:eastAsia="仿宋" w:hAnsi="仿宋" w:hint="eastAsia"/>
          <w:sz w:val="32"/>
          <w:szCs w:val="32"/>
        </w:rPr>
        <w:t xml:space="preserve">  </w:t>
      </w:r>
      <w:r>
        <w:rPr>
          <w:rFonts w:ascii="仿宋" w:eastAsia="仿宋" w:hAnsi="仿宋" w:hint="eastAsia"/>
          <w:sz w:val="32"/>
          <w:szCs w:val="32"/>
        </w:rPr>
        <w:t>区教育局应将中小学课桌椅配备工作列入保障学生体质健康的专项督导内容，并纳入开学常规检查内容。</w:t>
      </w:r>
    </w:p>
    <w:p w14:paraId="05A1A251"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第二十一条</w:t>
      </w:r>
      <w:r w:rsidR="000B792A">
        <w:rPr>
          <w:rFonts w:ascii="仿宋" w:eastAsia="仿宋" w:hAnsi="仿宋" w:hint="eastAsia"/>
          <w:sz w:val="32"/>
          <w:szCs w:val="32"/>
        </w:rPr>
        <w:t xml:space="preserve">  </w:t>
      </w:r>
      <w:r>
        <w:rPr>
          <w:rFonts w:ascii="仿宋" w:eastAsia="仿宋" w:hAnsi="仿宋" w:hint="eastAsia"/>
          <w:sz w:val="32"/>
          <w:szCs w:val="32"/>
        </w:rPr>
        <w:t>市教育局应成立专班，监督检查各区、直属学校工作推进情况，并通报监督检查结果。</w:t>
      </w:r>
    </w:p>
    <w:p w14:paraId="24DC9EC5" w14:textId="77777777" w:rsidR="0079563F" w:rsidRDefault="00EE5000" w:rsidP="009204FE">
      <w:pPr>
        <w:spacing w:line="460" w:lineRule="exact"/>
        <w:jc w:val="center"/>
        <w:rPr>
          <w:rFonts w:ascii="仿宋" w:eastAsia="仿宋" w:hAnsi="仿宋"/>
          <w:b/>
          <w:sz w:val="32"/>
          <w:szCs w:val="32"/>
        </w:rPr>
      </w:pPr>
      <w:r>
        <w:rPr>
          <w:rFonts w:ascii="仿宋" w:eastAsia="仿宋" w:hAnsi="仿宋" w:hint="eastAsia"/>
          <w:b/>
          <w:sz w:val="32"/>
          <w:szCs w:val="32"/>
        </w:rPr>
        <w:t>第六章 附则</w:t>
      </w:r>
    </w:p>
    <w:p w14:paraId="3EC3BEE3"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第二十二条</w:t>
      </w:r>
      <w:r w:rsidR="000B792A">
        <w:rPr>
          <w:rFonts w:ascii="仿宋" w:eastAsia="仿宋" w:hAnsi="仿宋" w:hint="eastAsia"/>
          <w:sz w:val="32"/>
          <w:szCs w:val="32"/>
        </w:rPr>
        <w:t xml:space="preserve">  </w:t>
      </w:r>
      <w:r>
        <w:rPr>
          <w:rFonts w:ascii="仿宋" w:eastAsia="仿宋" w:hAnsi="仿宋" w:hint="eastAsia"/>
          <w:sz w:val="32"/>
          <w:szCs w:val="32"/>
        </w:rPr>
        <w:t>本办法中的实验室是指小学科学实验室、中学物理实验室、中学化学实验室、中学生物实验室等，专用教室是指美术教室（书法教室）、音乐教室、计算机教室、录播教室、综合实践活动室（通用技术教室、劳动技术教室）等。</w:t>
      </w:r>
    </w:p>
    <w:p w14:paraId="767EE3B4"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第二十三条</w:t>
      </w:r>
      <w:r w:rsidR="000B792A">
        <w:rPr>
          <w:rFonts w:ascii="仿宋" w:eastAsia="仿宋" w:hAnsi="仿宋" w:hint="eastAsia"/>
          <w:sz w:val="32"/>
          <w:szCs w:val="32"/>
        </w:rPr>
        <w:t xml:space="preserve">  </w:t>
      </w:r>
      <w:r>
        <w:rPr>
          <w:rFonts w:ascii="仿宋" w:eastAsia="仿宋" w:hAnsi="仿宋" w:hint="eastAsia"/>
          <w:sz w:val="32"/>
          <w:szCs w:val="32"/>
        </w:rPr>
        <w:t>本办法由</w:t>
      </w:r>
      <w:r w:rsidR="00853BA2">
        <w:rPr>
          <w:rFonts w:ascii="仿宋" w:eastAsia="仿宋" w:hAnsi="仿宋" w:hint="eastAsia"/>
          <w:sz w:val="32"/>
          <w:szCs w:val="32"/>
        </w:rPr>
        <w:t>南京</w:t>
      </w:r>
      <w:r>
        <w:rPr>
          <w:rFonts w:ascii="仿宋" w:eastAsia="仿宋" w:hAnsi="仿宋" w:hint="eastAsia"/>
          <w:sz w:val="32"/>
          <w:szCs w:val="32"/>
        </w:rPr>
        <w:t>市教育局负责解释。</w:t>
      </w:r>
    </w:p>
    <w:p w14:paraId="7CF2570A" w14:textId="77777777" w:rsidR="0079563F" w:rsidRDefault="00EE5000" w:rsidP="009204FE">
      <w:pPr>
        <w:spacing w:line="460" w:lineRule="exact"/>
        <w:ind w:firstLineChars="200" w:firstLine="640"/>
        <w:jc w:val="left"/>
        <w:rPr>
          <w:rFonts w:ascii="仿宋" w:eastAsia="仿宋" w:hAnsi="仿宋"/>
          <w:sz w:val="32"/>
          <w:szCs w:val="32"/>
        </w:rPr>
      </w:pPr>
      <w:r>
        <w:rPr>
          <w:rFonts w:ascii="仿宋" w:eastAsia="仿宋" w:hAnsi="仿宋" w:hint="eastAsia"/>
          <w:sz w:val="32"/>
          <w:szCs w:val="32"/>
        </w:rPr>
        <w:t>第二十四条</w:t>
      </w:r>
      <w:r w:rsidR="000B792A">
        <w:rPr>
          <w:rFonts w:ascii="仿宋" w:eastAsia="仿宋" w:hAnsi="仿宋" w:hint="eastAsia"/>
          <w:sz w:val="32"/>
          <w:szCs w:val="32"/>
        </w:rPr>
        <w:t xml:space="preserve">  </w:t>
      </w:r>
      <w:r>
        <w:rPr>
          <w:rFonts w:ascii="仿宋" w:eastAsia="仿宋" w:hAnsi="仿宋" w:hint="eastAsia"/>
          <w:sz w:val="32"/>
          <w:szCs w:val="32"/>
        </w:rPr>
        <w:t>本办法自发布之日起实施。</w:t>
      </w:r>
    </w:p>
    <w:sectPr w:rsidR="0079563F" w:rsidSect="00200C63">
      <w:pgSz w:w="11906" w:h="16838" w:code="9"/>
      <w:pgMar w:top="1531" w:right="1701" w:bottom="1531" w:left="1701"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921C77" w14:textId="77777777" w:rsidR="00EA2E54" w:rsidRDefault="00EA2E54" w:rsidP="00E20D4A">
      <w:r>
        <w:separator/>
      </w:r>
    </w:p>
  </w:endnote>
  <w:endnote w:type="continuationSeparator" w:id="0">
    <w:p w14:paraId="0CB5BD2C" w14:textId="77777777" w:rsidR="00EA2E54" w:rsidRDefault="00EA2E54" w:rsidP="00E20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altName w:val="微软雅黑"/>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大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7219A5" w14:textId="77777777" w:rsidR="00EA2E54" w:rsidRDefault="00EA2E54" w:rsidP="00E20D4A">
      <w:r>
        <w:separator/>
      </w:r>
    </w:p>
  </w:footnote>
  <w:footnote w:type="continuationSeparator" w:id="0">
    <w:p w14:paraId="1DA32C66" w14:textId="77777777" w:rsidR="00EA2E54" w:rsidRDefault="00EA2E54" w:rsidP="00E20D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FFF"/>
    <w:rsid w:val="00006E4C"/>
    <w:rsid w:val="00010E2E"/>
    <w:rsid w:val="00017A3A"/>
    <w:rsid w:val="00023059"/>
    <w:rsid w:val="00024BDA"/>
    <w:rsid w:val="00041C9B"/>
    <w:rsid w:val="00051817"/>
    <w:rsid w:val="00053ABC"/>
    <w:rsid w:val="0006458B"/>
    <w:rsid w:val="0008046C"/>
    <w:rsid w:val="000A0860"/>
    <w:rsid w:val="000A64A0"/>
    <w:rsid w:val="000B3582"/>
    <w:rsid w:val="000B792A"/>
    <w:rsid w:val="000C7EAA"/>
    <w:rsid w:val="00110BCA"/>
    <w:rsid w:val="001478E0"/>
    <w:rsid w:val="0016730A"/>
    <w:rsid w:val="00175FC2"/>
    <w:rsid w:val="001765EA"/>
    <w:rsid w:val="00181A70"/>
    <w:rsid w:val="00193F87"/>
    <w:rsid w:val="001A23D0"/>
    <w:rsid w:val="001A4654"/>
    <w:rsid w:val="001D5F2A"/>
    <w:rsid w:val="001F7B4A"/>
    <w:rsid w:val="00200C63"/>
    <w:rsid w:val="00210523"/>
    <w:rsid w:val="002255E1"/>
    <w:rsid w:val="00227060"/>
    <w:rsid w:val="002377A9"/>
    <w:rsid w:val="00251A9D"/>
    <w:rsid w:val="002540FD"/>
    <w:rsid w:val="0025564E"/>
    <w:rsid w:val="002609D1"/>
    <w:rsid w:val="00270647"/>
    <w:rsid w:val="00293021"/>
    <w:rsid w:val="002C62B1"/>
    <w:rsid w:val="002D395D"/>
    <w:rsid w:val="003227C9"/>
    <w:rsid w:val="003279F9"/>
    <w:rsid w:val="0035278F"/>
    <w:rsid w:val="00362A1A"/>
    <w:rsid w:val="003766D5"/>
    <w:rsid w:val="00377A40"/>
    <w:rsid w:val="003A1273"/>
    <w:rsid w:val="003E4570"/>
    <w:rsid w:val="003F346B"/>
    <w:rsid w:val="00406098"/>
    <w:rsid w:val="00406C92"/>
    <w:rsid w:val="004212C4"/>
    <w:rsid w:val="00432C05"/>
    <w:rsid w:val="00452196"/>
    <w:rsid w:val="004769EB"/>
    <w:rsid w:val="00496D0C"/>
    <w:rsid w:val="004A1F9C"/>
    <w:rsid w:val="004A443F"/>
    <w:rsid w:val="004B3881"/>
    <w:rsid w:val="004B5504"/>
    <w:rsid w:val="004B6624"/>
    <w:rsid w:val="004C2326"/>
    <w:rsid w:val="004D7541"/>
    <w:rsid w:val="004E77B0"/>
    <w:rsid w:val="004F556D"/>
    <w:rsid w:val="0050530C"/>
    <w:rsid w:val="0050565B"/>
    <w:rsid w:val="00533743"/>
    <w:rsid w:val="00576B6C"/>
    <w:rsid w:val="00577FA9"/>
    <w:rsid w:val="005864BE"/>
    <w:rsid w:val="00594389"/>
    <w:rsid w:val="00596B1A"/>
    <w:rsid w:val="005A6483"/>
    <w:rsid w:val="005C37C5"/>
    <w:rsid w:val="005C5551"/>
    <w:rsid w:val="005D1694"/>
    <w:rsid w:val="005E5755"/>
    <w:rsid w:val="005F03AC"/>
    <w:rsid w:val="006047F1"/>
    <w:rsid w:val="00612A01"/>
    <w:rsid w:val="00615D48"/>
    <w:rsid w:val="006203AC"/>
    <w:rsid w:val="006304FE"/>
    <w:rsid w:val="00675C62"/>
    <w:rsid w:val="00682F68"/>
    <w:rsid w:val="00697960"/>
    <w:rsid w:val="006B11F3"/>
    <w:rsid w:val="006C15CA"/>
    <w:rsid w:val="006D351A"/>
    <w:rsid w:val="006E09FB"/>
    <w:rsid w:val="006F328F"/>
    <w:rsid w:val="00700BDC"/>
    <w:rsid w:val="00703B67"/>
    <w:rsid w:val="007166FA"/>
    <w:rsid w:val="007243B4"/>
    <w:rsid w:val="007854E8"/>
    <w:rsid w:val="0079277B"/>
    <w:rsid w:val="0079563F"/>
    <w:rsid w:val="00796109"/>
    <w:rsid w:val="007D07FC"/>
    <w:rsid w:val="007E048B"/>
    <w:rsid w:val="00831CF9"/>
    <w:rsid w:val="00837718"/>
    <w:rsid w:val="00853BA2"/>
    <w:rsid w:val="00874FB4"/>
    <w:rsid w:val="00876E1F"/>
    <w:rsid w:val="00881DD1"/>
    <w:rsid w:val="00893CF3"/>
    <w:rsid w:val="008C700D"/>
    <w:rsid w:val="008F6610"/>
    <w:rsid w:val="00903693"/>
    <w:rsid w:val="009051B1"/>
    <w:rsid w:val="00920381"/>
    <w:rsid w:val="009204FE"/>
    <w:rsid w:val="00920AC6"/>
    <w:rsid w:val="00922C67"/>
    <w:rsid w:val="00931FFF"/>
    <w:rsid w:val="009325A1"/>
    <w:rsid w:val="00932603"/>
    <w:rsid w:val="00936FA5"/>
    <w:rsid w:val="00970A03"/>
    <w:rsid w:val="009A5602"/>
    <w:rsid w:val="009B2441"/>
    <w:rsid w:val="009C6363"/>
    <w:rsid w:val="009C646D"/>
    <w:rsid w:val="009F07F8"/>
    <w:rsid w:val="00A00887"/>
    <w:rsid w:val="00A23114"/>
    <w:rsid w:val="00A2394A"/>
    <w:rsid w:val="00A25682"/>
    <w:rsid w:val="00A27DC1"/>
    <w:rsid w:val="00A3304D"/>
    <w:rsid w:val="00A34D33"/>
    <w:rsid w:val="00A37CFB"/>
    <w:rsid w:val="00A42345"/>
    <w:rsid w:val="00A84626"/>
    <w:rsid w:val="00AA1D4B"/>
    <w:rsid w:val="00AB1DEA"/>
    <w:rsid w:val="00AB4961"/>
    <w:rsid w:val="00AB7435"/>
    <w:rsid w:val="00AB785E"/>
    <w:rsid w:val="00AD343C"/>
    <w:rsid w:val="00AE69B8"/>
    <w:rsid w:val="00B17E72"/>
    <w:rsid w:val="00B4027E"/>
    <w:rsid w:val="00B44131"/>
    <w:rsid w:val="00B53703"/>
    <w:rsid w:val="00B555A8"/>
    <w:rsid w:val="00B67D6E"/>
    <w:rsid w:val="00B90CC9"/>
    <w:rsid w:val="00B94488"/>
    <w:rsid w:val="00BB5C0E"/>
    <w:rsid w:val="00BD3A33"/>
    <w:rsid w:val="00BE2757"/>
    <w:rsid w:val="00BF1FE2"/>
    <w:rsid w:val="00BF6EA7"/>
    <w:rsid w:val="00C00C0A"/>
    <w:rsid w:val="00C2680F"/>
    <w:rsid w:val="00C449C4"/>
    <w:rsid w:val="00C5331F"/>
    <w:rsid w:val="00C54868"/>
    <w:rsid w:val="00C60B85"/>
    <w:rsid w:val="00C75206"/>
    <w:rsid w:val="00C754EB"/>
    <w:rsid w:val="00C75E9B"/>
    <w:rsid w:val="00CC2624"/>
    <w:rsid w:val="00CD75BD"/>
    <w:rsid w:val="00CE08D8"/>
    <w:rsid w:val="00D37672"/>
    <w:rsid w:val="00D478B1"/>
    <w:rsid w:val="00D53738"/>
    <w:rsid w:val="00D6503E"/>
    <w:rsid w:val="00D72281"/>
    <w:rsid w:val="00D80588"/>
    <w:rsid w:val="00DD39BD"/>
    <w:rsid w:val="00DF6D39"/>
    <w:rsid w:val="00E20D4A"/>
    <w:rsid w:val="00E2282D"/>
    <w:rsid w:val="00E40D79"/>
    <w:rsid w:val="00E44990"/>
    <w:rsid w:val="00E60E2B"/>
    <w:rsid w:val="00E74723"/>
    <w:rsid w:val="00EA2E54"/>
    <w:rsid w:val="00EB7E38"/>
    <w:rsid w:val="00ED7B22"/>
    <w:rsid w:val="00EE5000"/>
    <w:rsid w:val="00EF1B58"/>
    <w:rsid w:val="00EF422D"/>
    <w:rsid w:val="00F03C27"/>
    <w:rsid w:val="00F20FE5"/>
    <w:rsid w:val="00F34B33"/>
    <w:rsid w:val="00F37103"/>
    <w:rsid w:val="00F42B68"/>
    <w:rsid w:val="00F6419D"/>
    <w:rsid w:val="00F65850"/>
    <w:rsid w:val="00F737E1"/>
    <w:rsid w:val="00F83459"/>
    <w:rsid w:val="00FA2FAE"/>
    <w:rsid w:val="00FC3D8B"/>
    <w:rsid w:val="00FD3D0B"/>
    <w:rsid w:val="00FE4104"/>
    <w:rsid w:val="02250E94"/>
    <w:rsid w:val="0861670C"/>
    <w:rsid w:val="088A65C5"/>
    <w:rsid w:val="09D53A62"/>
    <w:rsid w:val="1DA0787A"/>
    <w:rsid w:val="27073EFE"/>
    <w:rsid w:val="2B34009C"/>
    <w:rsid w:val="2EBF7D78"/>
    <w:rsid w:val="31BF7495"/>
    <w:rsid w:val="4942709E"/>
    <w:rsid w:val="4D182A06"/>
    <w:rsid w:val="565E7122"/>
    <w:rsid w:val="5664739F"/>
    <w:rsid w:val="59463263"/>
    <w:rsid w:val="59DE3336"/>
    <w:rsid w:val="5F8B7572"/>
    <w:rsid w:val="65B32DD4"/>
    <w:rsid w:val="735F330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7F820DB"/>
  <w15:docId w15:val="{564A1EA0-34E2-43AF-82D3-64DB967EB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563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qFormat/>
    <w:rsid w:val="0079563F"/>
    <w:pPr>
      <w:ind w:leftChars="2500" w:left="100"/>
    </w:pPr>
  </w:style>
  <w:style w:type="paragraph" w:styleId="a5">
    <w:name w:val="footer"/>
    <w:basedOn w:val="a"/>
    <w:link w:val="a6"/>
    <w:uiPriority w:val="99"/>
    <w:unhideWhenUsed/>
    <w:qFormat/>
    <w:rsid w:val="0079563F"/>
    <w:pPr>
      <w:tabs>
        <w:tab w:val="center" w:pos="4153"/>
        <w:tab w:val="right" w:pos="8306"/>
      </w:tabs>
      <w:snapToGrid w:val="0"/>
      <w:jc w:val="left"/>
    </w:pPr>
    <w:rPr>
      <w:sz w:val="18"/>
      <w:szCs w:val="18"/>
    </w:rPr>
  </w:style>
  <w:style w:type="paragraph" w:styleId="a7">
    <w:name w:val="header"/>
    <w:basedOn w:val="a"/>
    <w:link w:val="a8"/>
    <w:uiPriority w:val="99"/>
    <w:unhideWhenUsed/>
    <w:qFormat/>
    <w:rsid w:val="0079563F"/>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semiHidden/>
    <w:unhideWhenUsed/>
    <w:qFormat/>
    <w:rsid w:val="0079563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微软雅黑" w:eastAsia="微软雅黑" w:hAnsi="微软雅黑" w:cs="宋体"/>
      <w:kern w:val="0"/>
      <w:sz w:val="24"/>
      <w:szCs w:val="24"/>
    </w:rPr>
  </w:style>
  <w:style w:type="table" w:styleId="a9">
    <w:name w:val="Table Grid"/>
    <w:basedOn w:val="a1"/>
    <w:uiPriority w:val="59"/>
    <w:rsid w:val="0079563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页眉 字符"/>
    <w:basedOn w:val="a0"/>
    <w:link w:val="a7"/>
    <w:uiPriority w:val="99"/>
    <w:qFormat/>
    <w:rsid w:val="0079563F"/>
    <w:rPr>
      <w:sz w:val="18"/>
      <w:szCs w:val="18"/>
    </w:rPr>
  </w:style>
  <w:style w:type="character" w:customStyle="1" w:styleId="a6">
    <w:name w:val="页脚 字符"/>
    <w:basedOn w:val="a0"/>
    <w:link w:val="a5"/>
    <w:uiPriority w:val="99"/>
    <w:qFormat/>
    <w:rsid w:val="0079563F"/>
    <w:rPr>
      <w:sz w:val="18"/>
      <w:szCs w:val="18"/>
    </w:rPr>
  </w:style>
  <w:style w:type="paragraph" w:styleId="aa">
    <w:name w:val="List Paragraph"/>
    <w:basedOn w:val="a"/>
    <w:uiPriority w:val="34"/>
    <w:qFormat/>
    <w:rsid w:val="0079563F"/>
    <w:pPr>
      <w:ind w:firstLineChars="200" w:firstLine="420"/>
    </w:pPr>
  </w:style>
  <w:style w:type="character" w:customStyle="1" w:styleId="a4">
    <w:name w:val="日期 字符"/>
    <w:basedOn w:val="a0"/>
    <w:link w:val="a3"/>
    <w:uiPriority w:val="99"/>
    <w:semiHidden/>
    <w:qFormat/>
    <w:rsid w:val="0079563F"/>
    <w:rPr>
      <w:kern w:val="2"/>
      <w:sz w:val="21"/>
      <w:szCs w:val="22"/>
    </w:rPr>
  </w:style>
  <w:style w:type="character" w:customStyle="1" w:styleId="HTML0">
    <w:name w:val="HTML 预设格式 字符"/>
    <w:basedOn w:val="a0"/>
    <w:link w:val="HTML"/>
    <w:uiPriority w:val="99"/>
    <w:semiHidden/>
    <w:qFormat/>
    <w:rsid w:val="0079563F"/>
    <w:rPr>
      <w:rFonts w:ascii="微软雅黑" w:eastAsia="微软雅黑" w:hAnsi="微软雅黑" w:cs="宋体"/>
      <w:sz w:val="24"/>
      <w:szCs w:val="24"/>
    </w:rPr>
  </w:style>
  <w:style w:type="paragraph" w:styleId="ab">
    <w:name w:val="Balloon Text"/>
    <w:basedOn w:val="a"/>
    <w:link w:val="ac"/>
    <w:uiPriority w:val="99"/>
    <w:semiHidden/>
    <w:unhideWhenUsed/>
    <w:rsid w:val="00E74723"/>
    <w:rPr>
      <w:sz w:val="18"/>
      <w:szCs w:val="18"/>
    </w:rPr>
  </w:style>
  <w:style w:type="character" w:customStyle="1" w:styleId="ac">
    <w:name w:val="批注框文本 字符"/>
    <w:basedOn w:val="a0"/>
    <w:link w:val="ab"/>
    <w:uiPriority w:val="99"/>
    <w:semiHidden/>
    <w:rsid w:val="00E7472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2"/>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F62C6A-CC96-4B12-A4D1-41C99D56C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447</Words>
  <Characters>2549</Characters>
  <Application>Microsoft Office Word</Application>
  <DocSecurity>0</DocSecurity>
  <Lines>21</Lines>
  <Paragraphs>5</Paragraphs>
  <ScaleCrop>false</ScaleCrop>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zhangfeng</dc:creator>
  <cp:lastModifiedBy>kan jian</cp:lastModifiedBy>
  <cp:revision>2</cp:revision>
  <cp:lastPrinted>2020-05-28T01:28:00Z</cp:lastPrinted>
  <dcterms:created xsi:type="dcterms:W3CDTF">2020-06-05T01:50:00Z</dcterms:created>
  <dcterms:modified xsi:type="dcterms:W3CDTF">2020-06-05T01:50:00Z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